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135"/>
        <w:gridCol w:w="1800"/>
        <w:gridCol w:w="1440"/>
        <w:gridCol w:w="1975"/>
      </w:tblGrid>
      <w:tr w:rsidR="00D5656F" w:rsidRPr="00DD6CFE" w14:paraId="187D0D76" w14:textId="77777777" w:rsidTr="00E17C6E">
        <w:tc>
          <w:tcPr>
            <w:tcW w:w="4135" w:type="dxa"/>
            <w:vAlign w:val="center"/>
          </w:tcPr>
          <w:p w14:paraId="0DB12B7F" w14:textId="6726A51F" w:rsidR="00D5656F" w:rsidRPr="00DD6CFE" w:rsidRDefault="00D5656F" w:rsidP="009F5042">
            <w:pPr>
              <w:jc w:val="center"/>
              <w:rPr>
                <w:rFonts w:ascii="Arial" w:hAnsi="Arial" w:cs="Arial"/>
                <w:b/>
                <w:bCs/>
                <w:sz w:val="20"/>
                <w:szCs w:val="20"/>
              </w:rPr>
            </w:pPr>
            <w:r w:rsidRPr="00DD6CFE">
              <w:rPr>
                <w:rFonts w:ascii="Arial" w:hAnsi="Arial" w:cs="Arial"/>
                <w:b/>
                <w:bCs/>
                <w:sz w:val="20"/>
                <w:szCs w:val="20"/>
              </w:rPr>
              <w:t>Waiver Description</w:t>
            </w:r>
          </w:p>
        </w:tc>
        <w:tc>
          <w:tcPr>
            <w:tcW w:w="1800" w:type="dxa"/>
            <w:vAlign w:val="center"/>
          </w:tcPr>
          <w:p w14:paraId="60DE710D" w14:textId="1F52469B" w:rsidR="00D5656F" w:rsidRPr="00DD6CFE" w:rsidRDefault="00D5656F" w:rsidP="009F5042">
            <w:pPr>
              <w:jc w:val="center"/>
              <w:rPr>
                <w:rFonts w:ascii="Arial" w:hAnsi="Arial" w:cs="Arial"/>
                <w:b/>
                <w:bCs/>
                <w:sz w:val="20"/>
                <w:szCs w:val="20"/>
              </w:rPr>
            </w:pPr>
            <w:r w:rsidRPr="00DD6CFE">
              <w:rPr>
                <w:rFonts w:ascii="Arial" w:hAnsi="Arial" w:cs="Arial"/>
                <w:b/>
                <w:bCs/>
                <w:sz w:val="20"/>
                <w:szCs w:val="20"/>
              </w:rPr>
              <w:t>Date Issued</w:t>
            </w:r>
          </w:p>
        </w:tc>
        <w:tc>
          <w:tcPr>
            <w:tcW w:w="1440" w:type="dxa"/>
            <w:vAlign w:val="center"/>
          </w:tcPr>
          <w:p w14:paraId="50A3F3F9" w14:textId="12403542" w:rsidR="00D5656F" w:rsidRPr="00DD6CFE" w:rsidRDefault="00D5656F" w:rsidP="009F5042">
            <w:pPr>
              <w:jc w:val="center"/>
              <w:rPr>
                <w:rFonts w:ascii="Arial" w:hAnsi="Arial" w:cs="Arial"/>
                <w:b/>
                <w:bCs/>
                <w:sz w:val="20"/>
                <w:szCs w:val="20"/>
              </w:rPr>
            </w:pPr>
            <w:r w:rsidRPr="00DD6CFE">
              <w:rPr>
                <w:rFonts w:ascii="Arial" w:hAnsi="Arial" w:cs="Arial"/>
                <w:b/>
                <w:bCs/>
                <w:sz w:val="20"/>
                <w:szCs w:val="20"/>
              </w:rPr>
              <w:t>Renewed Through</w:t>
            </w:r>
          </w:p>
        </w:tc>
        <w:tc>
          <w:tcPr>
            <w:tcW w:w="1975" w:type="dxa"/>
            <w:vAlign w:val="center"/>
          </w:tcPr>
          <w:p w14:paraId="3CD37D5C" w14:textId="236D178B" w:rsidR="00D5656F" w:rsidRPr="00DD6CFE" w:rsidRDefault="00D5656F" w:rsidP="009F5042">
            <w:pPr>
              <w:jc w:val="center"/>
              <w:rPr>
                <w:rFonts w:ascii="Arial" w:hAnsi="Arial" w:cs="Arial"/>
                <w:b/>
                <w:bCs/>
                <w:sz w:val="20"/>
                <w:szCs w:val="20"/>
              </w:rPr>
            </w:pPr>
            <w:r w:rsidRPr="00DD6CFE">
              <w:rPr>
                <w:rFonts w:ascii="Arial" w:hAnsi="Arial" w:cs="Arial"/>
                <w:b/>
                <w:bCs/>
                <w:sz w:val="20"/>
                <w:szCs w:val="20"/>
              </w:rPr>
              <w:t>Original Link</w:t>
            </w:r>
          </w:p>
        </w:tc>
      </w:tr>
      <w:tr w:rsidR="0042105A" w:rsidRPr="00DD6CFE" w14:paraId="3D0FB19C" w14:textId="77777777" w:rsidTr="00E17C6E">
        <w:tc>
          <w:tcPr>
            <w:tcW w:w="4135" w:type="dxa"/>
            <w:vAlign w:val="center"/>
          </w:tcPr>
          <w:p w14:paraId="107A35F2" w14:textId="6AE9E080" w:rsidR="0042105A" w:rsidRPr="00DD6CFE" w:rsidRDefault="007B2776" w:rsidP="009F5042">
            <w:pPr>
              <w:jc w:val="center"/>
              <w:rPr>
                <w:rFonts w:ascii="Arial" w:hAnsi="Arial" w:cs="Arial"/>
                <w:sz w:val="20"/>
                <w:szCs w:val="20"/>
              </w:rPr>
            </w:pPr>
            <w:r w:rsidRPr="00DD6CFE">
              <w:rPr>
                <w:rFonts w:ascii="Arial" w:hAnsi="Arial" w:cs="Arial"/>
                <w:b/>
                <w:bCs/>
                <w:sz w:val="20"/>
                <w:szCs w:val="20"/>
              </w:rPr>
              <w:t>Isolation Rooms:</w:t>
            </w:r>
            <w:r w:rsidRPr="00DD6CFE">
              <w:rPr>
                <w:rFonts w:ascii="Arial" w:hAnsi="Arial" w:cs="Arial"/>
                <w:sz w:val="20"/>
                <w:szCs w:val="20"/>
              </w:rPr>
              <w:t xml:space="preserve">  </w:t>
            </w:r>
            <w:r w:rsidR="0042105A" w:rsidRPr="00DD6CFE">
              <w:rPr>
                <w:rFonts w:ascii="Arial" w:hAnsi="Arial" w:cs="Arial"/>
                <w:sz w:val="20"/>
                <w:szCs w:val="20"/>
              </w:rPr>
              <w:t>Isolation (negative air pressure) room requirements per FGI, 2018 Edition are hereby suspended, and facilities will not be required to submit waiver requests or plan review documents for the modification of currently approved inpatient rooms</w:t>
            </w:r>
            <w:r w:rsidR="0016758F" w:rsidRPr="00DD6CFE">
              <w:rPr>
                <w:rFonts w:ascii="Arial" w:hAnsi="Arial" w:cs="Arial"/>
                <w:sz w:val="20"/>
                <w:szCs w:val="20"/>
              </w:rPr>
              <w:t xml:space="preserve">, so long as IDOH is </w:t>
            </w:r>
            <w:r w:rsidR="00B15ECA" w:rsidRPr="00DD6CFE">
              <w:rPr>
                <w:rFonts w:ascii="Arial" w:hAnsi="Arial" w:cs="Arial"/>
                <w:sz w:val="20"/>
                <w:szCs w:val="20"/>
              </w:rPr>
              <w:t>notified,</w:t>
            </w:r>
            <w:r w:rsidR="0016758F" w:rsidRPr="00DD6CFE">
              <w:rPr>
                <w:rFonts w:ascii="Arial" w:hAnsi="Arial" w:cs="Arial"/>
                <w:sz w:val="20"/>
                <w:szCs w:val="20"/>
              </w:rPr>
              <w:t xml:space="preserve"> and an inspection is requested.</w:t>
            </w:r>
          </w:p>
        </w:tc>
        <w:tc>
          <w:tcPr>
            <w:tcW w:w="1800" w:type="dxa"/>
            <w:vAlign w:val="center"/>
          </w:tcPr>
          <w:p w14:paraId="3B7442BB" w14:textId="3CEDE6C4" w:rsidR="0042105A" w:rsidRPr="00DD6CFE" w:rsidRDefault="0042105A" w:rsidP="009F5042">
            <w:pPr>
              <w:jc w:val="center"/>
              <w:rPr>
                <w:rFonts w:ascii="Arial" w:hAnsi="Arial" w:cs="Arial"/>
                <w:sz w:val="20"/>
                <w:szCs w:val="20"/>
              </w:rPr>
            </w:pPr>
            <w:r w:rsidRPr="00DD6CFE">
              <w:rPr>
                <w:rFonts w:ascii="Arial" w:hAnsi="Arial" w:cs="Arial"/>
                <w:sz w:val="20"/>
                <w:szCs w:val="20"/>
              </w:rPr>
              <w:t>March 21, 2020, retroactive to March 6, 2020</w:t>
            </w:r>
          </w:p>
        </w:tc>
        <w:tc>
          <w:tcPr>
            <w:tcW w:w="1440" w:type="dxa"/>
            <w:vAlign w:val="center"/>
          </w:tcPr>
          <w:p w14:paraId="7630D426" w14:textId="716B7083" w:rsidR="0042105A" w:rsidRPr="00DD6CFE" w:rsidRDefault="00DD6CFE" w:rsidP="009F5042">
            <w:pPr>
              <w:jc w:val="center"/>
              <w:rPr>
                <w:rFonts w:ascii="Arial" w:hAnsi="Arial" w:cs="Arial"/>
                <w:sz w:val="20"/>
                <w:szCs w:val="20"/>
              </w:rPr>
            </w:pPr>
            <w:r w:rsidRPr="00DD6CFE">
              <w:rPr>
                <w:rFonts w:ascii="Arial" w:hAnsi="Arial" w:cs="Arial"/>
                <w:sz w:val="20"/>
                <w:szCs w:val="20"/>
              </w:rPr>
              <w:t>July 1,</w:t>
            </w:r>
            <w:r w:rsidR="0042105A" w:rsidRPr="00DD6CFE">
              <w:rPr>
                <w:rFonts w:ascii="Arial" w:hAnsi="Arial" w:cs="Arial"/>
                <w:sz w:val="20"/>
                <w:szCs w:val="20"/>
              </w:rPr>
              <w:t xml:space="preserve"> 2022</w:t>
            </w:r>
          </w:p>
        </w:tc>
        <w:tc>
          <w:tcPr>
            <w:tcW w:w="1975" w:type="dxa"/>
            <w:vAlign w:val="center"/>
          </w:tcPr>
          <w:p w14:paraId="4A47BC4D" w14:textId="5F8353B3" w:rsidR="0042105A" w:rsidRPr="00DD6CFE" w:rsidRDefault="0042105A" w:rsidP="009F5042">
            <w:pPr>
              <w:jc w:val="center"/>
              <w:rPr>
                <w:rFonts w:ascii="Arial" w:hAnsi="Arial" w:cs="Arial"/>
                <w:sz w:val="20"/>
                <w:szCs w:val="20"/>
              </w:rPr>
            </w:pPr>
            <w:r w:rsidRPr="00DD6CFE">
              <w:rPr>
                <w:rFonts w:ascii="Arial" w:hAnsi="Arial" w:cs="Arial"/>
                <w:sz w:val="20"/>
                <w:szCs w:val="20"/>
              </w:rPr>
              <w:t xml:space="preserve">First Waiver – Original Link </w:t>
            </w:r>
            <w:hyperlink r:id="rId7" w:history="1">
              <w:r w:rsidRPr="00DD6CFE">
                <w:rPr>
                  <w:rStyle w:val="Hyperlink"/>
                  <w:rFonts w:ascii="Arial" w:hAnsi="Arial" w:cs="Arial"/>
                  <w:sz w:val="20"/>
                  <w:szCs w:val="20"/>
                </w:rPr>
                <w:t>HERE</w:t>
              </w:r>
            </w:hyperlink>
          </w:p>
        </w:tc>
      </w:tr>
      <w:tr w:rsidR="0042105A" w:rsidRPr="00DD6CFE" w14:paraId="02F4BE53" w14:textId="77777777" w:rsidTr="00E17C6E">
        <w:tc>
          <w:tcPr>
            <w:tcW w:w="4135" w:type="dxa"/>
            <w:vAlign w:val="center"/>
          </w:tcPr>
          <w:p w14:paraId="1E1D8D22" w14:textId="18C1418C" w:rsidR="0042105A" w:rsidRPr="00DD6CFE" w:rsidRDefault="007B2776" w:rsidP="009F5042">
            <w:pPr>
              <w:jc w:val="center"/>
              <w:rPr>
                <w:rFonts w:ascii="Arial" w:hAnsi="Arial" w:cs="Arial"/>
                <w:sz w:val="20"/>
                <w:szCs w:val="20"/>
              </w:rPr>
            </w:pPr>
            <w:r w:rsidRPr="00DD6CFE">
              <w:rPr>
                <w:rFonts w:ascii="Arial" w:hAnsi="Arial" w:cs="Arial"/>
                <w:b/>
                <w:bCs/>
                <w:sz w:val="20"/>
                <w:szCs w:val="20"/>
              </w:rPr>
              <w:t>Previously Converted Rooms:</w:t>
            </w:r>
            <w:r w:rsidRPr="00DD6CFE">
              <w:rPr>
                <w:rFonts w:ascii="Arial" w:hAnsi="Arial" w:cs="Arial"/>
                <w:sz w:val="20"/>
                <w:szCs w:val="20"/>
              </w:rPr>
              <w:t xml:space="preserve">  </w:t>
            </w:r>
            <w:r w:rsidR="00524270" w:rsidRPr="00DD6CFE">
              <w:rPr>
                <w:rFonts w:ascii="Arial" w:hAnsi="Arial" w:cs="Arial"/>
                <w:sz w:val="20"/>
                <w:szCs w:val="20"/>
              </w:rPr>
              <w:t xml:space="preserve">Rooms or units </w:t>
            </w:r>
            <w:r w:rsidRPr="00DD6CFE">
              <w:rPr>
                <w:rFonts w:ascii="Arial" w:hAnsi="Arial" w:cs="Arial"/>
                <w:sz w:val="20"/>
                <w:szCs w:val="20"/>
              </w:rPr>
              <w:t>that</w:t>
            </w:r>
            <w:r w:rsidR="00524270" w:rsidRPr="00DD6CFE">
              <w:rPr>
                <w:rFonts w:ascii="Arial" w:hAnsi="Arial" w:cs="Arial"/>
                <w:sz w:val="20"/>
                <w:szCs w:val="20"/>
              </w:rPr>
              <w:t xml:space="preserve"> have previously been approved by IDOH and that have been taken out of service may be returned to service without further review or inspection if the rooms/units have not been modified during the period of nonuse.</w:t>
            </w:r>
          </w:p>
        </w:tc>
        <w:tc>
          <w:tcPr>
            <w:tcW w:w="1800" w:type="dxa"/>
            <w:vAlign w:val="center"/>
          </w:tcPr>
          <w:p w14:paraId="6EBC148F" w14:textId="50C5812B" w:rsidR="0042105A" w:rsidRPr="00DD6CFE" w:rsidRDefault="00524270" w:rsidP="009F5042">
            <w:pPr>
              <w:jc w:val="center"/>
              <w:rPr>
                <w:rFonts w:ascii="Arial" w:hAnsi="Arial" w:cs="Arial"/>
                <w:sz w:val="20"/>
                <w:szCs w:val="20"/>
              </w:rPr>
            </w:pPr>
            <w:r w:rsidRPr="00DD6CFE">
              <w:rPr>
                <w:rFonts w:ascii="Arial" w:hAnsi="Arial" w:cs="Arial"/>
                <w:sz w:val="20"/>
                <w:szCs w:val="20"/>
              </w:rPr>
              <w:t>March 24, 2020, retroactive to March 6, 2020</w:t>
            </w:r>
          </w:p>
        </w:tc>
        <w:tc>
          <w:tcPr>
            <w:tcW w:w="1440" w:type="dxa"/>
            <w:vAlign w:val="center"/>
          </w:tcPr>
          <w:p w14:paraId="406DAF88" w14:textId="0F433747" w:rsidR="0042105A" w:rsidRPr="00DD6CFE" w:rsidRDefault="00DD6CFE" w:rsidP="009F5042">
            <w:pPr>
              <w:jc w:val="center"/>
              <w:rPr>
                <w:rFonts w:ascii="Arial" w:hAnsi="Arial" w:cs="Arial"/>
                <w:sz w:val="20"/>
                <w:szCs w:val="20"/>
              </w:rPr>
            </w:pPr>
            <w:r w:rsidRPr="00DD6CFE">
              <w:rPr>
                <w:rFonts w:ascii="Arial" w:hAnsi="Arial" w:cs="Arial"/>
                <w:sz w:val="20"/>
                <w:szCs w:val="20"/>
              </w:rPr>
              <w:t>July 1, 2022</w:t>
            </w:r>
          </w:p>
        </w:tc>
        <w:tc>
          <w:tcPr>
            <w:tcW w:w="1975" w:type="dxa"/>
            <w:vAlign w:val="center"/>
          </w:tcPr>
          <w:p w14:paraId="4AF3B85E" w14:textId="4D6D3A53" w:rsidR="0042105A" w:rsidRPr="00DD6CFE" w:rsidRDefault="0042105A" w:rsidP="009F5042">
            <w:pPr>
              <w:jc w:val="center"/>
              <w:rPr>
                <w:rFonts w:ascii="Arial" w:hAnsi="Arial" w:cs="Arial"/>
                <w:sz w:val="20"/>
                <w:szCs w:val="20"/>
              </w:rPr>
            </w:pPr>
            <w:r w:rsidRPr="00DD6CFE">
              <w:rPr>
                <w:rFonts w:ascii="Arial" w:hAnsi="Arial" w:cs="Arial"/>
                <w:sz w:val="20"/>
                <w:szCs w:val="20"/>
              </w:rPr>
              <w:t xml:space="preserve">Second Waiver – Original Link </w:t>
            </w:r>
            <w:hyperlink r:id="rId8" w:history="1">
              <w:r w:rsidRPr="00DD6CFE">
                <w:rPr>
                  <w:rStyle w:val="Hyperlink"/>
                  <w:rFonts w:ascii="Arial" w:hAnsi="Arial" w:cs="Arial"/>
                  <w:sz w:val="20"/>
                  <w:szCs w:val="20"/>
                </w:rPr>
                <w:t>HERE</w:t>
              </w:r>
            </w:hyperlink>
          </w:p>
        </w:tc>
      </w:tr>
      <w:tr w:rsidR="00524270" w:rsidRPr="00DD6CFE" w14:paraId="43D6FAE1" w14:textId="77777777" w:rsidTr="00E17C6E">
        <w:tc>
          <w:tcPr>
            <w:tcW w:w="4135" w:type="dxa"/>
            <w:vAlign w:val="center"/>
          </w:tcPr>
          <w:p w14:paraId="02363745" w14:textId="73DC38B1" w:rsidR="00524270" w:rsidRPr="00DD6CFE" w:rsidRDefault="007B2776" w:rsidP="009F5042">
            <w:pPr>
              <w:jc w:val="center"/>
              <w:rPr>
                <w:rFonts w:ascii="Arial" w:hAnsi="Arial" w:cs="Arial"/>
                <w:sz w:val="20"/>
                <w:szCs w:val="20"/>
              </w:rPr>
            </w:pPr>
            <w:r w:rsidRPr="00DD6CFE">
              <w:rPr>
                <w:rFonts w:ascii="Arial" w:hAnsi="Arial" w:cs="Arial"/>
                <w:b/>
                <w:bCs/>
                <w:sz w:val="20"/>
                <w:szCs w:val="20"/>
              </w:rPr>
              <w:t>Newly Converted Rooms:</w:t>
            </w:r>
            <w:r w:rsidRPr="00DD6CFE">
              <w:rPr>
                <w:rFonts w:ascii="Arial" w:hAnsi="Arial" w:cs="Arial"/>
                <w:sz w:val="20"/>
                <w:szCs w:val="20"/>
              </w:rPr>
              <w:t xml:space="preserve">  </w:t>
            </w:r>
            <w:r w:rsidR="00524270" w:rsidRPr="00DD6CFE">
              <w:rPr>
                <w:rFonts w:ascii="Arial" w:hAnsi="Arial" w:cs="Arial"/>
                <w:sz w:val="20"/>
                <w:szCs w:val="20"/>
              </w:rPr>
              <w:t xml:space="preserve">Rooms or units that have not been previously approved for patient use and are within the licensed hospital space meeting health care occupancy requirements may be converted to patient use without prior plan review if they meet the minimum requirements of the </w:t>
            </w:r>
            <w:r w:rsidR="00B15ECA">
              <w:rPr>
                <w:rFonts w:ascii="Arial" w:hAnsi="Arial" w:cs="Arial"/>
                <w:sz w:val="20"/>
                <w:szCs w:val="20"/>
              </w:rPr>
              <w:t>W</w:t>
            </w:r>
            <w:r w:rsidR="00524270" w:rsidRPr="00DD6CFE">
              <w:rPr>
                <w:rFonts w:ascii="Arial" w:hAnsi="Arial" w:cs="Arial"/>
                <w:sz w:val="20"/>
                <w:szCs w:val="20"/>
              </w:rPr>
              <w:t>aiver.</w:t>
            </w:r>
          </w:p>
        </w:tc>
        <w:tc>
          <w:tcPr>
            <w:tcW w:w="1800" w:type="dxa"/>
            <w:vAlign w:val="center"/>
          </w:tcPr>
          <w:p w14:paraId="74F2FF9F" w14:textId="43F9283C" w:rsidR="00524270" w:rsidRPr="00DD6CFE" w:rsidRDefault="00524270" w:rsidP="009F5042">
            <w:pPr>
              <w:jc w:val="center"/>
              <w:rPr>
                <w:rFonts w:ascii="Arial" w:hAnsi="Arial" w:cs="Arial"/>
                <w:sz w:val="20"/>
                <w:szCs w:val="20"/>
              </w:rPr>
            </w:pPr>
            <w:r w:rsidRPr="00DD6CFE">
              <w:rPr>
                <w:rFonts w:ascii="Arial" w:hAnsi="Arial" w:cs="Arial"/>
                <w:sz w:val="20"/>
                <w:szCs w:val="20"/>
              </w:rPr>
              <w:t>March 24, 2020, retroactive to March 6, 2020</w:t>
            </w:r>
          </w:p>
        </w:tc>
        <w:tc>
          <w:tcPr>
            <w:tcW w:w="1440" w:type="dxa"/>
            <w:vAlign w:val="center"/>
          </w:tcPr>
          <w:p w14:paraId="29457862" w14:textId="0D2ABAC3" w:rsidR="00524270" w:rsidRPr="00DD6CFE" w:rsidRDefault="00DD6CFE" w:rsidP="009F5042">
            <w:pPr>
              <w:jc w:val="center"/>
              <w:rPr>
                <w:rFonts w:ascii="Arial" w:hAnsi="Arial" w:cs="Arial"/>
                <w:sz w:val="20"/>
                <w:szCs w:val="20"/>
              </w:rPr>
            </w:pPr>
            <w:r w:rsidRPr="00DD6CFE">
              <w:rPr>
                <w:rFonts w:ascii="Arial" w:hAnsi="Arial" w:cs="Arial"/>
                <w:sz w:val="20"/>
                <w:szCs w:val="20"/>
              </w:rPr>
              <w:t>July 1, 2022</w:t>
            </w:r>
          </w:p>
        </w:tc>
        <w:tc>
          <w:tcPr>
            <w:tcW w:w="1975" w:type="dxa"/>
            <w:vAlign w:val="center"/>
          </w:tcPr>
          <w:p w14:paraId="69282316" w14:textId="1D787F63" w:rsidR="00524270" w:rsidRPr="00DD6CFE" w:rsidRDefault="00524270" w:rsidP="009F5042">
            <w:pPr>
              <w:jc w:val="center"/>
              <w:rPr>
                <w:rFonts w:ascii="Arial" w:hAnsi="Arial" w:cs="Arial"/>
                <w:sz w:val="20"/>
                <w:szCs w:val="20"/>
              </w:rPr>
            </w:pPr>
            <w:r w:rsidRPr="00DD6CFE">
              <w:rPr>
                <w:rFonts w:ascii="Arial" w:hAnsi="Arial" w:cs="Arial"/>
                <w:sz w:val="20"/>
                <w:szCs w:val="20"/>
              </w:rPr>
              <w:t xml:space="preserve">Second Waiver – Original Link </w:t>
            </w:r>
            <w:hyperlink r:id="rId9" w:history="1">
              <w:r w:rsidRPr="00DD6CFE">
                <w:rPr>
                  <w:rStyle w:val="Hyperlink"/>
                  <w:rFonts w:ascii="Arial" w:hAnsi="Arial" w:cs="Arial"/>
                  <w:sz w:val="20"/>
                  <w:szCs w:val="20"/>
                </w:rPr>
                <w:t>HERE</w:t>
              </w:r>
            </w:hyperlink>
          </w:p>
        </w:tc>
      </w:tr>
      <w:tr w:rsidR="00524270" w:rsidRPr="00DD6CFE" w14:paraId="0B679FAF" w14:textId="77777777" w:rsidTr="00E17C6E">
        <w:trPr>
          <w:trHeight w:val="2033"/>
        </w:trPr>
        <w:tc>
          <w:tcPr>
            <w:tcW w:w="4135" w:type="dxa"/>
            <w:vAlign w:val="center"/>
          </w:tcPr>
          <w:p w14:paraId="29635531" w14:textId="716619A6" w:rsidR="00524270" w:rsidRPr="00DD6CFE" w:rsidRDefault="009F5042" w:rsidP="00B15ECA">
            <w:pPr>
              <w:jc w:val="center"/>
              <w:rPr>
                <w:rFonts w:ascii="Arial" w:hAnsi="Arial" w:cs="Arial"/>
                <w:sz w:val="20"/>
                <w:szCs w:val="20"/>
              </w:rPr>
            </w:pPr>
            <w:r w:rsidRPr="00DD6CFE">
              <w:rPr>
                <w:rFonts w:ascii="Arial" w:hAnsi="Arial" w:cs="Arial"/>
                <w:b/>
                <w:bCs/>
                <w:sz w:val="20"/>
                <w:szCs w:val="20"/>
              </w:rPr>
              <w:t>Notification Process:</w:t>
            </w:r>
            <w:r w:rsidRPr="00DD6CFE">
              <w:rPr>
                <w:rFonts w:ascii="Arial" w:hAnsi="Arial" w:cs="Arial"/>
                <w:sz w:val="20"/>
                <w:szCs w:val="20"/>
              </w:rPr>
              <w:t xml:space="preserve">  </w:t>
            </w:r>
            <w:r w:rsidR="0016758F" w:rsidRPr="00DD6CFE">
              <w:rPr>
                <w:rFonts w:ascii="Arial" w:hAnsi="Arial" w:cs="Arial"/>
                <w:sz w:val="20"/>
                <w:szCs w:val="20"/>
              </w:rPr>
              <w:t>In order to utilize the</w:t>
            </w:r>
            <w:r w:rsidR="009A33DC" w:rsidRPr="00DD6CFE">
              <w:rPr>
                <w:rFonts w:ascii="Arial" w:hAnsi="Arial" w:cs="Arial"/>
                <w:sz w:val="20"/>
                <w:szCs w:val="20"/>
              </w:rPr>
              <w:t xml:space="preserve"> above</w:t>
            </w:r>
            <w:r w:rsidR="0016758F" w:rsidRPr="00DD6CFE">
              <w:rPr>
                <w:rFonts w:ascii="Arial" w:hAnsi="Arial" w:cs="Arial"/>
                <w:sz w:val="20"/>
                <w:szCs w:val="20"/>
              </w:rPr>
              <w:t xml:space="preserve"> </w:t>
            </w:r>
            <w:r w:rsidR="00B15ECA">
              <w:rPr>
                <w:rFonts w:ascii="Arial" w:hAnsi="Arial" w:cs="Arial"/>
                <w:sz w:val="20"/>
                <w:szCs w:val="20"/>
              </w:rPr>
              <w:t>W</w:t>
            </w:r>
            <w:r w:rsidR="0016758F" w:rsidRPr="00DD6CFE">
              <w:rPr>
                <w:rFonts w:ascii="Arial" w:hAnsi="Arial" w:cs="Arial"/>
                <w:sz w:val="20"/>
                <w:szCs w:val="20"/>
              </w:rPr>
              <w:t xml:space="preserve">aivers, </w:t>
            </w:r>
            <w:r w:rsidR="009A33DC" w:rsidRPr="00DD6CFE">
              <w:rPr>
                <w:rFonts w:ascii="Arial" w:hAnsi="Arial" w:cs="Arial"/>
                <w:sz w:val="20"/>
                <w:szCs w:val="20"/>
              </w:rPr>
              <w:t>h</w:t>
            </w:r>
            <w:r w:rsidR="0016758F" w:rsidRPr="00DD6CFE">
              <w:rPr>
                <w:rFonts w:ascii="Arial" w:hAnsi="Arial" w:cs="Arial"/>
                <w:sz w:val="20"/>
                <w:szCs w:val="20"/>
              </w:rPr>
              <w:t>ospitals must</w:t>
            </w:r>
            <w:r w:rsidR="009A33DC" w:rsidRPr="00DD6CFE">
              <w:rPr>
                <w:rFonts w:ascii="Arial" w:hAnsi="Arial" w:cs="Arial"/>
                <w:sz w:val="20"/>
                <w:szCs w:val="20"/>
              </w:rPr>
              <w:t xml:space="preserve"> d</w:t>
            </w:r>
            <w:r w:rsidR="0016758F" w:rsidRPr="00DD6CFE">
              <w:rPr>
                <w:rFonts w:ascii="Arial" w:hAnsi="Arial" w:cs="Arial"/>
                <w:sz w:val="20"/>
                <w:szCs w:val="20"/>
              </w:rPr>
              <w:t>eclare a COVID-19 facility emergency</w:t>
            </w:r>
            <w:r w:rsidR="009A33DC" w:rsidRPr="00DD6CFE">
              <w:rPr>
                <w:rFonts w:ascii="Arial" w:hAnsi="Arial" w:cs="Arial"/>
                <w:sz w:val="20"/>
                <w:szCs w:val="20"/>
              </w:rPr>
              <w:t xml:space="preserve"> </w:t>
            </w:r>
            <w:r w:rsidR="0016758F" w:rsidRPr="00DD6CFE">
              <w:rPr>
                <w:rFonts w:ascii="Arial" w:hAnsi="Arial" w:cs="Arial"/>
                <w:sz w:val="20"/>
                <w:szCs w:val="20"/>
              </w:rPr>
              <w:t>and </w:t>
            </w:r>
            <w:r w:rsidR="009A33DC" w:rsidRPr="00DD6CFE">
              <w:rPr>
                <w:rFonts w:ascii="Arial" w:hAnsi="Arial" w:cs="Arial"/>
                <w:sz w:val="20"/>
                <w:szCs w:val="20"/>
              </w:rPr>
              <w:t>n</w:t>
            </w:r>
            <w:r w:rsidR="0016758F" w:rsidRPr="00DD6CFE">
              <w:rPr>
                <w:rFonts w:ascii="Arial" w:hAnsi="Arial" w:cs="Arial"/>
                <w:sz w:val="20"/>
                <w:szCs w:val="20"/>
              </w:rPr>
              <w:t>otify I</w:t>
            </w:r>
            <w:r w:rsidR="009A33DC" w:rsidRPr="00DD6CFE">
              <w:rPr>
                <w:rFonts w:ascii="Arial" w:hAnsi="Arial" w:cs="Arial"/>
                <w:sz w:val="20"/>
                <w:szCs w:val="20"/>
              </w:rPr>
              <w:t>DOH</w:t>
            </w:r>
            <w:r w:rsidR="0016758F" w:rsidRPr="00DD6CFE">
              <w:rPr>
                <w:rFonts w:ascii="Arial" w:hAnsi="Arial" w:cs="Arial"/>
                <w:sz w:val="20"/>
                <w:szCs w:val="20"/>
              </w:rPr>
              <w:t xml:space="preserve"> of the declaration</w:t>
            </w:r>
            <w:r w:rsidR="009A33DC" w:rsidRPr="00DD6CFE">
              <w:rPr>
                <w:rFonts w:ascii="Arial" w:hAnsi="Arial" w:cs="Arial"/>
                <w:sz w:val="20"/>
                <w:szCs w:val="20"/>
              </w:rPr>
              <w:t xml:space="preserve"> as outlined in the Waiver.</w:t>
            </w:r>
            <w:r w:rsidR="00D33431" w:rsidRPr="00DD6CFE">
              <w:rPr>
                <w:rFonts w:ascii="Arial" w:hAnsi="Arial" w:cs="Arial"/>
                <w:sz w:val="20"/>
                <w:szCs w:val="20"/>
              </w:rPr>
              <w:t xml:space="preserve">  Must</w:t>
            </w:r>
            <w:r w:rsidR="00B15ECA">
              <w:rPr>
                <w:rFonts w:ascii="Arial" w:hAnsi="Arial" w:cs="Arial"/>
                <w:sz w:val="20"/>
                <w:szCs w:val="20"/>
              </w:rPr>
              <w:t xml:space="preserve"> also</w:t>
            </w:r>
            <w:r w:rsidR="00D33431" w:rsidRPr="00DD6CFE">
              <w:rPr>
                <w:rFonts w:ascii="Arial" w:hAnsi="Arial" w:cs="Arial"/>
                <w:sz w:val="20"/>
                <w:szCs w:val="20"/>
              </w:rPr>
              <w:t xml:space="preserve"> notify IDOH within three (3) days of any remodel, renovation, conversion, repurposing, addition, </w:t>
            </w:r>
            <w:r w:rsidR="00B15ECA">
              <w:rPr>
                <w:rFonts w:ascii="Arial" w:hAnsi="Arial" w:cs="Arial"/>
                <w:sz w:val="20"/>
                <w:szCs w:val="20"/>
              </w:rPr>
              <w:t>or</w:t>
            </w:r>
            <w:r w:rsidR="00D33431" w:rsidRPr="00DD6CFE">
              <w:rPr>
                <w:rFonts w:ascii="Arial" w:hAnsi="Arial" w:cs="Arial"/>
                <w:sz w:val="20"/>
                <w:szCs w:val="20"/>
              </w:rPr>
              <w:t xml:space="preserve"> other physical or structural change made under a Waiver.</w:t>
            </w:r>
          </w:p>
        </w:tc>
        <w:tc>
          <w:tcPr>
            <w:tcW w:w="1800" w:type="dxa"/>
            <w:vAlign w:val="center"/>
          </w:tcPr>
          <w:p w14:paraId="62C80F44" w14:textId="097D35B7" w:rsidR="00524270" w:rsidRPr="00DD6CFE" w:rsidRDefault="009A33DC" w:rsidP="009F5042">
            <w:pPr>
              <w:jc w:val="center"/>
              <w:rPr>
                <w:rFonts w:ascii="Arial" w:hAnsi="Arial" w:cs="Arial"/>
                <w:sz w:val="20"/>
                <w:szCs w:val="20"/>
              </w:rPr>
            </w:pPr>
            <w:r w:rsidRPr="00DD6CFE">
              <w:rPr>
                <w:rFonts w:ascii="Arial" w:hAnsi="Arial" w:cs="Arial"/>
                <w:sz w:val="20"/>
                <w:szCs w:val="20"/>
              </w:rPr>
              <w:t>March 27, 2029, retroactive to March 6, 2020</w:t>
            </w:r>
          </w:p>
        </w:tc>
        <w:tc>
          <w:tcPr>
            <w:tcW w:w="1440" w:type="dxa"/>
            <w:vAlign w:val="center"/>
          </w:tcPr>
          <w:p w14:paraId="2FFE9512" w14:textId="58345260" w:rsidR="00524270" w:rsidRPr="00DD6CFE" w:rsidRDefault="00DD6CFE" w:rsidP="009F5042">
            <w:pPr>
              <w:jc w:val="center"/>
              <w:rPr>
                <w:rFonts w:ascii="Arial" w:hAnsi="Arial" w:cs="Arial"/>
                <w:sz w:val="20"/>
                <w:szCs w:val="20"/>
              </w:rPr>
            </w:pPr>
            <w:r w:rsidRPr="00DD6CFE">
              <w:rPr>
                <w:rFonts w:ascii="Arial" w:hAnsi="Arial" w:cs="Arial"/>
                <w:sz w:val="20"/>
                <w:szCs w:val="20"/>
              </w:rPr>
              <w:t>July 1, 2022</w:t>
            </w:r>
          </w:p>
        </w:tc>
        <w:tc>
          <w:tcPr>
            <w:tcW w:w="1975" w:type="dxa"/>
            <w:vAlign w:val="center"/>
          </w:tcPr>
          <w:p w14:paraId="54A9A68F" w14:textId="39B4ADFA" w:rsidR="00524270" w:rsidRPr="00DD6CFE" w:rsidRDefault="00D33431" w:rsidP="009F5042">
            <w:pPr>
              <w:jc w:val="center"/>
              <w:rPr>
                <w:rFonts w:ascii="Arial" w:hAnsi="Arial" w:cs="Arial"/>
                <w:sz w:val="20"/>
                <w:szCs w:val="20"/>
              </w:rPr>
            </w:pPr>
            <w:r w:rsidRPr="00DD6CFE">
              <w:rPr>
                <w:rFonts w:ascii="Arial" w:hAnsi="Arial" w:cs="Arial"/>
                <w:sz w:val="20"/>
                <w:szCs w:val="20"/>
              </w:rPr>
              <w:t xml:space="preserve">Third Waiver – Original Link </w:t>
            </w:r>
            <w:hyperlink r:id="rId10" w:history="1">
              <w:r w:rsidRPr="00DD6CFE">
                <w:rPr>
                  <w:rStyle w:val="Hyperlink"/>
                  <w:rFonts w:ascii="Arial" w:hAnsi="Arial" w:cs="Arial"/>
                  <w:sz w:val="20"/>
                  <w:szCs w:val="20"/>
                </w:rPr>
                <w:t>HERE</w:t>
              </w:r>
            </w:hyperlink>
          </w:p>
        </w:tc>
      </w:tr>
      <w:tr w:rsidR="00524270" w:rsidRPr="00DD6CFE" w14:paraId="6C4878A9" w14:textId="77777777" w:rsidTr="00E17C6E">
        <w:tc>
          <w:tcPr>
            <w:tcW w:w="4135" w:type="dxa"/>
            <w:vAlign w:val="center"/>
          </w:tcPr>
          <w:p w14:paraId="2165A6FC" w14:textId="47F4D331" w:rsidR="00524270" w:rsidRPr="00DD6CFE" w:rsidRDefault="009F5042" w:rsidP="009F5042">
            <w:pPr>
              <w:jc w:val="center"/>
              <w:rPr>
                <w:rFonts w:ascii="Arial" w:hAnsi="Arial" w:cs="Arial"/>
                <w:sz w:val="20"/>
                <w:szCs w:val="20"/>
              </w:rPr>
            </w:pPr>
            <w:r w:rsidRPr="00DD6CFE">
              <w:rPr>
                <w:rFonts w:ascii="Arial" w:hAnsi="Arial" w:cs="Arial"/>
                <w:b/>
                <w:bCs/>
                <w:sz w:val="20"/>
                <w:szCs w:val="20"/>
              </w:rPr>
              <w:t>ASC Repurposed as Hospital:</w:t>
            </w:r>
            <w:r w:rsidRPr="00DD6CFE">
              <w:rPr>
                <w:rFonts w:ascii="Arial" w:hAnsi="Arial" w:cs="Arial"/>
                <w:sz w:val="20"/>
                <w:szCs w:val="20"/>
              </w:rPr>
              <w:t xml:space="preserve">  ASCs may be repurposed as a hospital if the ASC sends timely notice to IDOH and request</w:t>
            </w:r>
            <w:r w:rsidR="00B15ECA">
              <w:rPr>
                <w:rFonts w:ascii="Arial" w:hAnsi="Arial" w:cs="Arial"/>
                <w:sz w:val="20"/>
                <w:szCs w:val="20"/>
              </w:rPr>
              <w:t>s</w:t>
            </w:r>
            <w:r w:rsidRPr="00DD6CFE">
              <w:rPr>
                <w:rFonts w:ascii="Arial" w:hAnsi="Arial" w:cs="Arial"/>
                <w:sz w:val="20"/>
                <w:szCs w:val="20"/>
              </w:rPr>
              <w:t xml:space="preserve"> approval in lieu of licensure to operate temporarily as a hospital under Indiana law</w:t>
            </w:r>
            <w:r w:rsidR="00B048DF">
              <w:rPr>
                <w:rFonts w:ascii="Arial" w:hAnsi="Arial" w:cs="Arial"/>
                <w:sz w:val="20"/>
                <w:szCs w:val="20"/>
              </w:rPr>
              <w:t>.</w:t>
            </w:r>
          </w:p>
        </w:tc>
        <w:tc>
          <w:tcPr>
            <w:tcW w:w="1800" w:type="dxa"/>
            <w:vAlign w:val="center"/>
          </w:tcPr>
          <w:p w14:paraId="53C3E40B" w14:textId="3B178EC2" w:rsidR="00524270" w:rsidRPr="00DD6CFE" w:rsidRDefault="00FB70CF" w:rsidP="009F5042">
            <w:pPr>
              <w:jc w:val="center"/>
              <w:rPr>
                <w:rFonts w:ascii="Arial" w:hAnsi="Arial" w:cs="Arial"/>
                <w:sz w:val="20"/>
                <w:szCs w:val="20"/>
              </w:rPr>
            </w:pPr>
            <w:r w:rsidRPr="00DD6CFE">
              <w:rPr>
                <w:rFonts w:ascii="Arial" w:hAnsi="Arial" w:cs="Arial"/>
                <w:sz w:val="20"/>
                <w:szCs w:val="20"/>
              </w:rPr>
              <w:t>April 14, 2020, retroactive to March 6, 2020</w:t>
            </w:r>
          </w:p>
        </w:tc>
        <w:tc>
          <w:tcPr>
            <w:tcW w:w="1440" w:type="dxa"/>
            <w:vAlign w:val="center"/>
          </w:tcPr>
          <w:p w14:paraId="1D105350" w14:textId="107096B0" w:rsidR="00524270" w:rsidRPr="00DD6CFE" w:rsidRDefault="00DD6CFE" w:rsidP="009F5042">
            <w:pPr>
              <w:jc w:val="center"/>
              <w:rPr>
                <w:rFonts w:ascii="Arial" w:hAnsi="Arial" w:cs="Arial"/>
                <w:sz w:val="20"/>
                <w:szCs w:val="20"/>
              </w:rPr>
            </w:pPr>
            <w:r w:rsidRPr="00DD6CFE">
              <w:rPr>
                <w:rFonts w:ascii="Arial" w:hAnsi="Arial" w:cs="Arial"/>
                <w:sz w:val="20"/>
                <w:szCs w:val="20"/>
              </w:rPr>
              <w:t>July 1, 2022</w:t>
            </w:r>
          </w:p>
        </w:tc>
        <w:tc>
          <w:tcPr>
            <w:tcW w:w="1975" w:type="dxa"/>
            <w:vAlign w:val="center"/>
          </w:tcPr>
          <w:p w14:paraId="1658EB52" w14:textId="4A0D33D2" w:rsidR="00524270" w:rsidRPr="00DD6CFE" w:rsidRDefault="00FB70CF" w:rsidP="009F5042">
            <w:pPr>
              <w:jc w:val="center"/>
              <w:rPr>
                <w:rFonts w:ascii="Arial" w:hAnsi="Arial" w:cs="Arial"/>
                <w:sz w:val="20"/>
                <w:szCs w:val="20"/>
              </w:rPr>
            </w:pPr>
            <w:r w:rsidRPr="00DD6CFE">
              <w:rPr>
                <w:rFonts w:ascii="Arial" w:hAnsi="Arial" w:cs="Arial"/>
                <w:sz w:val="20"/>
                <w:szCs w:val="20"/>
              </w:rPr>
              <w:t xml:space="preserve">Fourth Waiver – Original Link </w:t>
            </w:r>
            <w:hyperlink r:id="rId11" w:history="1">
              <w:r w:rsidRPr="00DD6CFE">
                <w:rPr>
                  <w:rStyle w:val="Hyperlink"/>
                  <w:rFonts w:ascii="Arial" w:hAnsi="Arial" w:cs="Arial"/>
                  <w:sz w:val="20"/>
                  <w:szCs w:val="20"/>
                </w:rPr>
                <w:t>HERE</w:t>
              </w:r>
            </w:hyperlink>
            <w:r w:rsidRPr="00DD6CFE">
              <w:rPr>
                <w:rFonts w:ascii="Arial" w:hAnsi="Arial" w:cs="Arial"/>
                <w:sz w:val="20"/>
                <w:szCs w:val="20"/>
              </w:rPr>
              <w:t xml:space="preserve"> </w:t>
            </w:r>
          </w:p>
        </w:tc>
      </w:tr>
      <w:tr w:rsidR="009F5042" w:rsidRPr="00DD6CFE" w14:paraId="08A8D01F" w14:textId="77777777" w:rsidTr="00E17C6E">
        <w:tc>
          <w:tcPr>
            <w:tcW w:w="4135" w:type="dxa"/>
            <w:vAlign w:val="center"/>
          </w:tcPr>
          <w:p w14:paraId="73798A7A" w14:textId="3E47E14E" w:rsidR="009F5042" w:rsidRPr="00DD6CFE" w:rsidRDefault="009F5042" w:rsidP="005F7875">
            <w:pPr>
              <w:jc w:val="center"/>
              <w:rPr>
                <w:rFonts w:ascii="Arial" w:hAnsi="Arial" w:cs="Arial"/>
                <w:sz w:val="20"/>
                <w:szCs w:val="20"/>
              </w:rPr>
            </w:pPr>
            <w:r w:rsidRPr="00DD6CFE">
              <w:rPr>
                <w:rFonts w:ascii="Arial" w:hAnsi="Arial" w:cs="Arial"/>
                <w:b/>
                <w:bCs/>
                <w:sz w:val="20"/>
                <w:szCs w:val="20"/>
              </w:rPr>
              <w:t>ASC Not Repurposed as Hospital:</w:t>
            </w:r>
            <w:r w:rsidRPr="00DD6CFE">
              <w:rPr>
                <w:rFonts w:ascii="Arial" w:hAnsi="Arial" w:cs="Arial"/>
                <w:sz w:val="20"/>
                <w:szCs w:val="20"/>
              </w:rPr>
              <w:t xml:space="preserve">  </w:t>
            </w:r>
            <w:r w:rsidR="00B15ECA">
              <w:rPr>
                <w:rFonts w:ascii="Arial" w:hAnsi="Arial" w:cs="Arial"/>
                <w:sz w:val="20"/>
                <w:szCs w:val="20"/>
              </w:rPr>
              <w:t xml:space="preserve">The requirement that </w:t>
            </w:r>
            <w:r w:rsidR="00FB70CF" w:rsidRPr="00DD6CFE">
              <w:rPr>
                <w:rFonts w:ascii="Arial" w:hAnsi="Arial" w:cs="Arial"/>
                <w:sz w:val="20"/>
                <w:szCs w:val="20"/>
              </w:rPr>
              <w:t>ASC employees may</w:t>
            </w:r>
            <w:r w:rsidRPr="00DD6CFE">
              <w:rPr>
                <w:rFonts w:ascii="Arial" w:hAnsi="Arial" w:cs="Arial"/>
                <w:sz w:val="20"/>
                <w:szCs w:val="20"/>
              </w:rPr>
              <w:t xml:space="preserve"> </w:t>
            </w:r>
            <w:r w:rsidR="00B15ECA">
              <w:rPr>
                <w:rFonts w:ascii="Arial" w:hAnsi="Arial" w:cs="Arial"/>
                <w:sz w:val="20"/>
                <w:szCs w:val="20"/>
              </w:rPr>
              <w:t xml:space="preserve">not </w:t>
            </w:r>
            <w:r w:rsidRPr="00DD6CFE">
              <w:rPr>
                <w:rFonts w:ascii="Arial" w:hAnsi="Arial" w:cs="Arial"/>
                <w:sz w:val="20"/>
                <w:szCs w:val="20"/>
              </w:rPr>
              <w:t>provide services in an adjacent office, clinic, hospital, or other facility</w:t>
            </w:r>
            <w:r w:rsidR="00B15ECA">
              <w:rPr>
                <w:rFonts w:ascii="Arial" w:hAnsi="Arial" w:cs="Arial"/>
                <w:sz w:val="20"/>
                <w:szCs w:val="20"/>
              </w:rPr>
              <w:t xml:space="preserve"> is waived</w:t>
            </w:r>
            <w:r w:rsidR="00FB70CF" w:rsidRPr="00DD6CFE">
              <w:rPr>
                <w:rFonts w:ascii="Arial" w:hAnsi="Arial" w:cs="Arial"/>
                <w:sz w:val="20"/>
                <w:szCs w:val="20"/>
              </w:rPr>
              <w:t>.  The requirement that the infection control committee keep written reports of quarterly meetings is waived.  The ASC may follow alternate infection</w:t>
            </w:r>
            <w:r w:rsidR="00205407" w:rsidRPr="00DD6CFE">
              <w:rPr>
                <w:rFonts w:ascii="Arial" w:hAnsi="Arial" w:cs="Arial"/>
                <w:sz w:val="20"/>
                <w:szCs w:val="20"/>
              </w:rPr>
              <w:t xml:space="preserve">, patient </w:t>
            </w:r>
            <w:r w:rsidR="00FB70CF" w:rsidRPr="00DD6CFE">
              <w:rPr>
                <w:rFonts w:ascii="Arial" w:hAnsi="Arial" w:cs="Arial"/>
                <w:sz w:val="20"/>
                <w:szCs w:val="20"/>
              </w:rPr>
              <w:t>isolation</w:t>
            </w:r>
            <w:r w:rsidR="00205407" w:rsidRPr="00DD6CFE">
              <w:rPr>
                <w:rFonts w:ascii="Arial" w:hAnsi="Arial" w:cs="Arial"/>
                <w:sz w:val="20"/>
                <w:szCs w:val="20"/>
              </w:rPr>
              <w:t>, and sterilization</w:t>
            </w:r>
            <w:r w:rsidR="00FB70CF" w:rsidRPr="00DD6CFE">
              <w:rPr>
                <w:rFonts w:ascii="Arial" w:hAnsi="Arial" w:cs="Arial"/>
                <w:sz w:val="20"/>
                <w:szCs w:val="20"/>
              </w:rPr>
              <w:t xml:space="preserve"> standards that are consistent with directives</w:t>
            </w:r>
            <w:r w:rsidR="00205407" w:rsidRPr="00DD6CFE">
              <w:rPr>
                <w:rFonts w:ascii="Arial" w:hAnsi="Arial" w:cs="Arial"/>
                <w:sz w:val="20"/>
                <w:szCs w:val="20"/>
              </w:rPr>
              <w:t xml:space="preserve"> and guidance</w:t>
            </w:r>
            <w:r w:rsidR="00FB70CF" w:rsidRPr="00DD6CFE">
              <w:rPr>
                <w:rFonts w:ascii="Arial" w:hAnsi="Arial" w:cs="Arial"/>
                <w:sz w:val="20"/>
                <w:szCs w:val="20"/>
              </w:rPr>
              <w:t xml:space="preserve"> from CMS and/or the CDC.</w:t>
            </w:r>
            <w:r w:rsidR="00205407" w:rsidRPr="00DD6CFE">
              <w:rPr>
                <w:rFonts w:ascii="Arial" w:hAnsi="Arial" w:cs="Arial"/>
                <w:sz w:val="20"/>
                <w:szCs w:val="20"/>
              </w:rPr>
              <w:t xml:space="preserve">  The requirement that medical staff reappointments not exceed two (2) years is</w:t>
            </w:r>
            <w:r w:rsidR="005F7875">
              <w:rPr>
                <w:rFonts w:ascii="Arial" w:hAnsi="Arial" w:cs="Arial"/>
                <w:sz w:val="20"/>
                <w:szCs w:val="20"/>
              </w:rPr>
              <w:t xml:space="preserve"> </w:t>
            </w:r>
            <w:r w:rsidR="00205407" w:rsidRPr="00DD6CFE">
              <w:rPr>
                <w:rFonts w:ascii="Arial" w:hAnsi="Arial" w:cs="Arial"/>
                <w:sz w:val="20"/>
                <w:szCs w:val="20"/>
              </w:rPr>
              <w:t>waived.</w:t>
            </w:r>
          </w:p>
        </w:tc>
        <w:tc>
          <w:tcPr>
            <w:tcW w:w="1800" w:type="dxa"/>
            <w:vAlign w:val="center"/>
          </w:tcPr>
          <w:p w14:paraId="18C25519" w14:textId="2CA6247A" w:rsidR="009F5042" w:rsidRPr="00DD6CFE" w:rsidRDefault="00FB70CF" w:rsidP="009F5042">
            <w:pPr>
              <w:jc w:val="center"/>
              <w:rPr>
                <w:rFonts w:ascii="Arial" w:hAnsi="Arial" w:cs="Arial"/>
                <w:sz w:val="20"/>
                <w:szCs w:val="20"/>
              </w:rPr>
            </w:pPr>
            <w:r w:rsidRPr="00DD6CFE">
              <w:rPr>
                <w:rFonts w:ascii="Arial" w:hAnsi="Arial" w:cs="Arial"/>
                <w:sz w:val="20"/>
                <w:szCs w:val="20"/>
              </w:rPr>
              <w:t>April 14, 2020, retroactive to March 6, 2020</w:t>
            </w:r>
          </w:p>
        </w:tc>
        <w:tc>
          <w:tcPr>
            <w:tcW w:w="1440" w:type="dxa"/>
            <w:vAlign w:val="center"/>
          </w:tcPr>
          <w:p w14:paraId="72474D69" w14:textId="372A56D6" w:rsidR="009F5042" w:rsidRPr="00DD6CFE" w:rsidRDefault="00DD6CFE" w:rsidP="009F5042">
            <w:pPr>
              <w:jc w:val="center"/>
              <w:rPr>
                <w:rFonts w:ascii="Arial" w:hAnsi="Arial" w:cs="Arial"/>
                <w:sz w:val="20"/>
                <w:szCs w:val="20"/>
              </w:rPr>
            </w:pPr>
            <w:r w:rsidRPr="00DD6CFE">
              <w:rPr>
                <w:rFonts w:ascii="Arial" w:hAnsi="Arial" w:cs="Arial"/>
                <w:sz w:val="20"/>
                <w:szCs w:val="20"/>
              </w:rPr>
              <w:t>July 1, 2022</w:t>
            </w:r>
          </w:p>
        </w:tc>
        <w:tc>
          <w:tcPr>
            <w:tcW w:w="1975" w:type="dxa"/>
            <w:vAlign w:val="center"/>
          </w:tcPr>
          <w:p w14:paraId="3471B13A" w14:textId="004442AE" w:rsidR="009F5042" w:rsidRPr="00DD6CFE" w:rsidRDefault="00FB70CF" w:rsidP="009F5042">
            <w:pPr>
              <w:jc w:val="center"/>
              <w:rPr>
                <w:rFonts w:ascii="Arial" w:hAnsi="Arial" w:cs="Arial"/>
                <w:sz w:val="20"/>
                <w:szCs w:val="20"/>
              </w:rPr>
            </w:pPr>
            <w:r w:rsidRPr="00DD6CFE">
              <w:rPr>
                <w:rFonts w:ascii="Arial" w:hAnsi="Arial" w:cs="Arial"/>
                <w:sz w:val="20"/>
                <w:szCs w:val="20"/>
              </w:rPr>
              <w:t xml:space="preserve">Fourth Waiver – Original Link </w:t>
            </w:r>
            <w:hyperlink r:id="rId12" w:history="1">
              <w:r w:rsidRPr="00DD6CFE">
                <w:rPr>
                  <w:rStyle w:val="Hyperlink"/>
                  <w:rFonts w:ascii="Arial" w:hAnsi="Arial" w:cs="Arial"/>
                  <w:sz w:val="20"/>
                  <w:szCs w:val="20"/>
                </w:rPr>
                <w:t>HERE</w:t>
              </w:r>
            </w:hyperlink>
          </w:p>
        </w:tc>
      </w:tr>
    </w:tbl>
    <w:p w14:paraId="63D6C00D" w14:textId="77777777" w:rsidR="00F96036" w:rsidRPr="00DD6CFE" w:rsidRDefault="00F96036" w:rsidP="009F5042">
      <w:pPr>
        <w:jc w:val="center"/>
        <w:rPr>
          <w:rFonts w:ascii="Arial" w:hAnsi="Arial" w:cs="Arial"/>
          <w:sz w:val="20"/>
          <w:szCs w:val="20"/>
        </w:rPr>
      </w:pPr>
    </w:p>
    <w:sectPr w:rsidR="00F96036" w:rsidRPr="00DD6CF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7B35" w14:textId="77777777" w:rsidR="00DD6CFE" w:rsidRDefault="00DD6CFE" w:rsidP="00DD6CFE">
      <w:pPr>
        <w:spacing w:after="0" w:line="240" w:lineRule="auto"/>
      </w:pPr>
      <w:r>
        <w:separator/>
      </w:r>
    </w:p>
  </w:endnote>
  <w:endnote w:type="continuationSeparator" w:id="0">
    <w:p w14:paraId="5C48F328" w14:textId="77777777" w:rsidR="00DD6CFE" w:rsidRDefault="00DD6CFE" w:rsidP="00DD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1779" w14:textId="77777777" w:rsidR="00DD6CFE" w:rsidRDefault="00DD6CFE" w:rsidP="00DD6CFE">
      <w:pPr>
        <w:spacing w:after="0" w:line="240" w:lineRule="auto"/>
      </w:pPr>
      <w:r>
        <w:separator/>
      </w:r>
    </w:p>
  </w:footnote>
  <w:footnote w:type="continuationSeparator" w:id="0">
    <w:p w14:paraId="19A10637" w14:textId="77777777" w:rsidR="00DD6CFE" w:rsidRDefault="00DD6CFE" w:rsidP="00DD6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991F" w14:textId="6E16F53C" w:rsidR="00DD6CFE" w:rsidRPr="00DD6CFE" w:rsidRDefault="00DD6CFE" w:rsidP="00DD6CFE">
    <w:pPr>
      <w:pStyle w:val="Header"/>
      <w:jc w:val="center"/>
      <w:rPr>
        <w:rFonts w:ascii="Arial" w:hAnsi="Arial" w:cs="Arial"/>
        <w:sz w:val="32"/>
        <w:szCs w:val="32"/>
      </w:rPr>
    </w:pPr>
    <w:r w:rsidRPr="00DD6CFE">
      <w:rPr>
        <w:rFonts w:ascii="Arial" w:hAnsi="Arial" w:cs="Arial"/>
        <w:sz w:val="32"/>
        <w:szCs w:val="32"/>
      </w:rPr>
      <w:t>I</w:t>
    </w:r>
    <w:r>
      <w:rPr>
        <w:rFonts w:ascii="Arial" w:hAnsi="Arial" w:cs="Arial"/>
        <w:sz w:val="32"/>
        <w:szCs w:val="32"/>
      </w:rPr>
      <w:t xml:space="preserve">ndiana Department of Health </w:t>
    </w:r>
    <w:r w:rsidRPr="00DD6CFE">
      <w:rPr>
        <w:rFonts w:ascii="Arial" w:hAnsi="Arial" w:cs="Arial"/>
        <w:sz w:val="32"/>
        <w:szCs w:val="32"/>
      </w:rPr>
      <w:t xml:space="preserve">COVID-19 Waivers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6F"/>
    <w:rsid w:val="0016758F"/>
    <w:rsid w:val="00205407"/>
    <w:rsid w:val="0042105A"/>
    <w:rsid w:val="00524270"/>
    <w:rsid w:val="005F7875"/>
    <w:rsid w:val="00763435"/>
    <w:rsid w:val="007B2776"/>
    <w:rsid w:val="009A33DC"/>
    <w:rsid w:val="009F5042"/>
    <w:rsid w:val="00AF6BB2"/>
    <w:rsid w:val="00B048DF"/>
    <w:rsid w:val="00B15ECA"/>
    <w:rsid w:val="00D33431"/>
    <w:rsid w:val="00D5656F"/>
    <w:rsid w:val="00DD6CFE"/>
    <w:rsid w:val="00E17C6E"/>
    <w:rsid w:val="00E60F8E"/>
    <w:rsid w:val="00F96036"/>
    <w:rsid w:val="00FB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527F"/>
  <w15:chartTrackingRefBased/>
  <w15:docId w15:val="{CBA71368-468B-499B-99FA-14A90E50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05A"/>
    <w:rPr>
      <w:color w:val="0563C1" w:themeColor="hyperlink"/>
      <w:u w:val="single"/>
    </w:rPr>
  </w:style>
  <w:style w:type="character" w:styleId="UnresolvedMention">
    <w:name w:val="Unresolved Mention"/>
    <w:basedOn w:val="DefaultParagraphFont"/>
    <w:uiPriority w:val="99"/>
    <w:semiHidden/>
    <w:unhideWhenUsed/>
    <w:rsid w:val="0042105A"/>
    <w:rPr>
      <w:color w:val="605E5C"/>
      <w:shd w:val="clear" w:color="auto" w:fill="E1DFDD"/>
    </w:rPr>
  </w:style>
  <w:style w:type="paragraph" w:styleId="Header">
    <w:name w:val="header"/>
    <w:basedOn w:val="Normal"/>
    <w:link w:val="HeaderChar"/>
    <w:uiPriority w:val="99"/>
    <w:unhideWhenUsed/>
    <w:rsid w:val="00DD6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CFE"/>
  </w:style>
  <w:style w:type="paragraph" w:styleId="Footer">
    <w:name w:val="footer"/>
    <w:basedOn w:val="Normal"/>
    <w:link w:val="FooterChar"/>
    <w:uiPriority w:val="99"/>
    <w:unhideWhenUsed/>
    <w:rsid w:val="00DD6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1862">
      <w:bodyDiv w:val="1"/>
      <w:marLeft w:val="0"/>
      <w:marRight w:val="0"/>
      <w:marTop w:val="0"/>
      <w:marBottom w:val="0"/>
      <w:divBdr>
        <w:top w:val="none" w:sz="0" w:space="0" w:color="auto"/>
        <w:left w:val="none" w:sz="0" w:space="0" w:color="auto"/>
        <w:bottom w:val="none" w:sz="0" w:space="0" w:color="auto"/>
        <w:right w:val="none" w:sz="0" w:space="0" w:color="auto"/>
      </w:divBdr>
      <w:divsChild>
        <w:div w:id="2025551397">
          <w:marLeft w:val="0"/>
          <w:marRight w:val="0"/>
          <w:marTop w:val="0"/>
          <w:marBottom w:val="0"/>
          <w:divBdr>
            <w:top w:val="none" w:sz="0" w:space="0" w:color="auto"/>
            <w:left w:val="none" w:sz="0" w:space="0" w:color="auto"/>
            <w:bottom w:val="none" w:sz="0" w:space="0" w:color="auto"/>
            <w:right w:val="none" w:sz="0" w:space="0" w:color="auto"/>
          </w:divBdr>
        </w:div>
        <w:div w:id="467169273">
          <w:marLeft w:val="0"/>
          <w:marRight w:val="0"/>
          <w:marTop w:val="0"/>
          <w:marBottom w:val="0"/>
          <w:divBdr>
            <w:top w:val="none" w:sz="0" w:space="0" w:color="auto"/>
            <w:left w:val="none" w:sz="0" w:space="0" w:color="auto"/>
            <w:bottom w:val="none" w:sz="0" w:space="0" w:color="auto"/>
            <w:right w:val="none" w:sz="0" w:space="0" w:color="auto"/>
          </w:divBdr>
        </w:div>
        <w:div w:id="1266234536">
          <w:marLeft w:val="0"/>
          <w:marRight w:val="0"/>
          <w:marTop w:val="0"/>
          <w:marBottom w:val="0"/>
          <w:divBdr>
            <w:top w:val="none" w:sz="0" w:space="0" w:color="auto"/>
            <w:left w:val="none" w:sz="0" w:space="0" w:color="auto"/>
            <w:bottom w:val="none" w:sz="0" w:space="0" w:color="auto"/>
            <w:right w:val="none" w:sz="0" w:space="0" w:color="auto"/>
          </w:divBdr>
        </w:div>
      </w:divsChild>
    </w:div>
    <w:div w:id="1858232219">
      <w:bodyDiv w:val="1"/>
      <w:marLeft w:val="0"/>
      <w:marRight w:val="0"/>
      <w:marTop w:val="0"/>
      <w:marBottom w:val="0"/>
      <w:divBdr>
        <w:top w:val="none" w:sz="0" w:space="0" w:color="auto"/>
        <w:left w:val="none" w:sz="0" w:space="0" w:color="auto"/>
        <w:bottom w:val="none" w:sz="0" w:space="0" w:color="auto"/>
        <w:right w:val="none" w:sz="0" w:space="0" w:color="auto"/>
      </w:divBdr>
      <w:divsChild>
        <w:div w:id="1384133133">
          <w:marLeft w:val="0"/>
          <w:marRight w:val="0"/>
          <w:marTop w:val="0"/>
          <w:marBottom w:val="0"/>
          <w:divBdr>
            <w:top w:val="none" w:sz="0" w:space="0" w:color="auto"/>
            <w:left w:val="none" w:sz="0" w:space="0" w:color="auto"/>
            <w:bottom w:val="none" w:sz="0" w:space="0" w:color="auto"/>
            <w:right w:val="none" w:sz="0" w:space="0" w:color="auto"/>
          </w:divBdr>
        </w:div>
        <w:div w:id="1131438524">
          <w:marLeft w:val="0"/>
          <w:marRight w:val="0"/>
          <w:marTop w:val="0"/>
          <w:marBottom w:val="0"/>
          <w:divBdr>
            <w:top w:val="none" w:sz="0" w:space="0" w:color="auto"/>
            <w:left w:val="none" w:sz="0" w:space="0" w:color="auto"/>
            <w:bottom w:val="none" w:sz="0" w:space="0" w:color="auto"/>
            <w:right w:val="none" w:sz="0" w:space="0" w:color="auto"/>
          </w:divBdr>
        </w:div>
        <w:div w:id="17677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onavirus.in.gov/files/H-Emergency-Waiver-2-Patient-Room-2020-03-24-Final-Signed.pdf"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coronavirus.in.gov/files/G-Emergency-Waiver-1-Isolation-Room-Final-Signed.pdf" TargetMode="External"/><Relationship Id="rId12" Type="http://schemas.openxmlformats.org/officeDocument/2006/relationships/hyperlink" Target="https://www.in.gov/health/files/ACC-EO-5-ASC-Blanket-Waivers-20200414-Final-Signed.pdf"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gov/health/files/ACC-EO-5-ASC-Blanket-Waivers-20200414-Final-Signed.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ronavirus.in.gov/files/Q-Hosp-Waiver-Order-3-20200327-FULL-Final-Signed.pdf" TargetMode="External"/><Relationship Id="rId4" Type="http://schemas.openxmlformats.org/officeDocument/2006/relationships/webSettings" Target="webSettings.xml"/><Relationship Id="rId9" Type="http://schemas.openxmlformats.org/officeDocument/2006/relationships/hyperlink" Target="https://www.coronavirus.in.gov/files/H-Emergency-Waiver-2-Patient-Room-2020-03-24-Final-Signed.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1904F289B01149ADF0BCB9DD91BE78" ma:contentTypeVersion="2" ma:contentTypeDescription="Create a new document." ma:contentTypeScope="" ma:versionID="cf24a0bb53b19ee52f1a508076f2a497">
  <xsd:schema xmlns:xsd="http://www.w3.org/2001/XMLSchema" xmlns:xs="http://www.w3.org/2001/XMLSchema" xmlns:p="http://schemas.microsoft.com/office/2006/metadata/properties" xmlns:ns1="http://schemas.microsoft.com/sharepoint/v3" xmlns:ns2="b9a44fce-46ea-4c23-971c-1094676d9fe8" targetNamespace="http://schemas.microsoft.com/office/2006/metadata/properties" ma:root="true" ma:fieldsID="477fe87fcf8ba16705e640e0912f894f" ns1:_="" ns2:_="">
    <xsd:import namespace="http://schemas.microsoft.com/sharepoint/v3"/>
    <xsd:import namespace="b9a44fce-46ea-4c23-971c-1094676d9fe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44fce-46ea-4c23-971c-1094676d9fe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20401D-6A64-4904-8ACD-04CCCE625851}">
  <ds:schemaRefs>
    <ds:schemaRef ds:uri="http://schemas.openxmlformats.org/officeDocument/2006/bibliography"/>
  </ds:schemaRefs>
</ds:datastoreItem>
</file>

<file path=customXml/itemProps2.xml><?xml version="1.0" encoding="utf-8"?>
<ds:datastoreItem xmlns:ds="http://schemas.openxmlformats.org/officeDocument/2006/customXml" ds:itemID="{38CF3323-D58D-476C-A210-41337A1A0297}"/>
</file>

<file path=customXml/itemProps3.xml><?xml version="1.0" encoding="utf-8"?>
<ds:datastoreItem xmlns:ds="http://schemas.openxmlformats.org/officeDocument/2006/customXml" ds:itemID="{5DAF0A5A-279F-4EB7-805E-2D01740232E2}"/>
</file>

<file path=customXml/itemProps4.xml><?xml version="1.0" encoding="utf-8"?>
<ds:datastoreItem xmlns:ds="http://schemas.openxmlformats.org/officeDocument/2006/customXml" ds:itemID="{C6BFD74B-C81C-40C9-BBB3-34E218652829}"/>
</file>

<file path=docProps/app.xml><?xml version="1.0" encoding="utf-8"?>
<Properties xmlns="http://schemas.openxmlformats.org/officeDocument/2006/extended-properties" xmlns:vt="http://schemas.openxmlformats.org/officeDocument/2006/docPropsVTypes">
  <Template>Normal</Template>
  <TotalTime>141</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dc:creator>
  <cp:keywords/>
  <dc:description/>
  <cp:lastModifiedBy>Laura Brown</cp:lastModifiedBy>
  <cp:revision>11</cp:revision>
  <dcterms:created xsi:type="dcterms:W3CDTF">2022-03-15T15:19:00Z</dcterms:created>
  <dcterms:modified xsi:type="dcterms:W3CDTF">2022-03-17T14:35:00Z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0x0101004A1904F289B01149ADF0BCB9DD91BE78</vt:lpwstr>
  </property>
</Properties>
</file>